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B11" w:rsidRDefault="00EC2B3C">
      <w:bookmarkStart w:id="0" w:name="_GoBack"/>
      <w:r w:rsidRPr="00EC2B3C">
        <w:rPr>
          <w:noProof/>
          <w:lang w:eastAsia="pl-PL"/>
        </w:rPr>
        <w:drawing>
          <wp:inline distT="0" distB="0" distL="0" distR="0">
            <wp:extent cx="10690860" cy="7559039"/>
            <wp:effectExtent l="0" t="0" r="0" b="4445"/>
            <wp:docPr id="1" name="Obraz 1" descr="D:\3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3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4027" cy="758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93B11" w:rsidSect="00652B2A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80"/>
    <w:rsid w:val="00093B11"/>
    <w:rsid w:val="00274680"/>
    <w:rsid w:val="00652B2A"/>
    <w:rsid w:val="00EC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662523-9D55-4157-B136-63D97E0FC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 Ewa Budziszewska Z-ca Dyrektora Biura Infrastruktury</dc:creator>
  <cp:keywords/>
  <dc:description/>
  <cp:lastModifiedBy>Hewlett-Packard Company</cp:lastModifiedBy>
  <cp:revision>4</cp:revision>
  <dcterms:created xsi:type="dcterms:W3CDTF">2021-07-15T11:54:00Z</dcterms:created>
  <dcterms:modified xsi:type="dcterms:W3CDTF">2021-07-15T11:59:00Z</dcterms:modified>
</cp:coreProperties>
</file>